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88" w:rsidRPr="00E12ECD" w:rsidRDefault="00A34A0A">
      <w:pPr>
        <w:rPr>
          <w:b/>
        </w:rPr>
      </w:pPr>
      <w:r w:rsidRPr="00E12ECD">
        <w:rPr>
          <w:b/>
        </w:rPr>
        <w:t>Readme</w:t>
      </w:r>
      <w:r w:rsidR="00E12ECD" w:rsidRPr="00E12ECD">
        <w:rPr>
          <w:b/>
        </w:rPr>
        <w:t>.docx</w:t>
      </w:r>
    </w:p>
    <w:p w:rsidR="00A34A0A" w:rsidRPr="00BC1230" w:rsidRDefault="00A34A0A">
      <w:pPr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 w:rsidRPr="00BC1230">
        <w:rPr>
          <w:b/>
          <w:color w:val="000000" w:themeColor="text1"/>
        </w:rPr>
        <w:t xml:space="preserve">Documentation for </w:t>
      </w:r>
      <w:r w:rsidRPr="00BC123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"</w:t>
      </w:r>
      <w:hyperlink r:id="rId6" w:history="1">
        <w:r w:rsidRPr="00BC1230">
          <w:rPr>
            <w:rStyle w:val="Hyperlink"/>
            <w:rFonts w:cs="Tahoma"/>
            <w:b/>
            <w:color w:val="0070C0"/>
            <w:sz w:val="24"/>
            <w:szCs w:val="24"/>
            <w:u w:val="none"/>
            <w:shd w:val="clear" w:color="auto" w:fill="FFFFFF"/>
          </w:rPr>
          <w:t>How Much Energy Do Building Energy Codes Save? Evidence from California Houses</w:t>
        </w:r>
      </w:hyperlink>
      <w:r w:rsidRPr="00BC123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"</w:t>
      </w:r>
      <w:r w:rsidRPr="00BC1230">
        <w:rPr>
          <w:rStyle w:val="apple-converted-space"/>
          <w:rFonts w:cs="Tahoma"/>
          <w:b/>
          <w:color w:val="000000" w:themeColor="text1"/>
          <w:sz w:val="24"/>
          <w:szCs w:val="24"/>
          <w:shd w:val="clear" w:color="auto" w:fill="FFFFFF"/>
        </w:rPr>
        <w:t> </w:t>
      </w:r>
      <w:r w:rsidRPr="00BC1230">
        <w:rPr>
          <w:rStyle w:val="Emphasis"/>
          <w:rFonts w:cs="Tahoma"/>
          <w:b/>
          <w:color w:val="000000" w:themeColor="text1"/>
          <w:sz w:val="24"/>
          <w:szCs w:val="24"/>
          <w:shd w:val="clear" w:color="auto" w:fill="FFFFFF"/>
        </w:rPr>
        <w:t>American Economic Review</w:t>
      </w:r>
      <w:r w:rsidR="00BC1230" w:rsidRPr="00BC123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by Arik Levinson.</w:t>
      </w:r>
    </w:p>
    <w:p w:rsidR="00A34A0A" w:rsidRPr="0084140D" w:rsidRDefault="00C34D5C">
      <w:pPr>
        <w:rPr>
          <w:rFonts w:cs="Tahoma"/>
          <w:sz w:val="24"/>
          <w:szCs w:val="24"/>
          <w:shd w:val="clear" w:color="auto" w:fill="FFFFFF"/>
        </w:rPr>
      </w:pPr>
      <w:r w:rsidRPr="0084140D">
        <w:rPr>
          <w:rFonts w:cs="Tahoma"/>
          <w:sz w:val="24"/>
          <w:szCs w:val="24"/>
          <w:shd w:val="clear" w:color="auto" w:fill="FFFFFF"/>
        </w:rPr>
        <w:t xml:space="preserve">There are three parts to the paper, corresponding to the three empirical approaches.  Part 1 </w:t>
      </w:r>
      <w:r w:rsidR="0084140D" w:rsidRPr="0084140D">
        <w:rPr>
          <w:rFonts w:cs="Tahoma"/>
          <w:sz w:val="24"/>
          <w:szCs w:val="24"/>
          <w:shd w:val="clear" w:color="auto" w:fill="FFFFFF"/>
        </w:rPr>
        <w:t xml:space="preserve">studies California using </w:t>
      </w:r>
      <w:r w:rsidRPr="0084140D">
        <w:rPr>
          <w:rFonts w:cs="Tahoma"/>
          <w:sz w:val="24"/>
          <w:szCs w:val="24"/>
          <w:shd w:val="clear" w:color="auto" w:fill="FFFFFF"/>
        </w:rPr>
        <w:t xml:space="preserve">the annual RASS data from 2003 and 2009.  Part 2 uses the monthly RASS billing data.  And Part 3 </w:t>
      </w:r>
      <w:r w:rsidR="0084140D" w:rsidRPr="0084140D">
        <w:rPr>
          <w:rFonts w:cs="Tahoma"/>
          <w:sz w:val="24"/>
          <w:szCs w:val="24"/>
          <w:shd w:val="clear" w:color="auto" w:fill="FFFFFF"/>
        </w:rPr>
        <w:t xml:space="preserve">compares California to other states using </w:t>
      </w:r>
      <w:r w:rsidRPr="0084140D">
        <w:rPr>
          <w:rFonts w:cs="Tahoma"/>
          <w:sz w:val="24"/>
          <w:szCs w:val="24"/>
          <w:shd w:val="clear" w:color="auto" w:fill="FFFFFF"/>
        </w:rPr>
        <w:t>the RECS.</w:t>
      </w:r>
    </w:p>
    <w:p w:rsidR="00C34D5C" w:rsidRPr="0084140D" w:rsidRDefault="00C34D5C">
      <w:pPr>
        <w:rPr>
          <w:rFonts w:cs="Tahoma"/>
          <w:sz w:val="24"/>
          <w:szCs w:val="24"/>
          <w:shd w:val="clear" w:color="auto" w:fill="FFFFFF"/>
        </w:rPr>
      </w:pPr>
      <w:r w:rsidRPr="0084140D">
        <w:rPr>
          <w:rFonts w:cs="Tahoma"/>
          <w:sz w:val="24"/>
          <w:szCs w:val="24"/>
          <w:shd w:val="clear" w:color="auto" w:fill="FFFFFF"/>
        </w:rPr>
        <w:t xml:space="preserve">For </w:t>
      </w:r>
      <w:r w:rsidR="0084140D" w:rsidRPr="0084140D">
        <w:rPr>
          <w:rFonts w:cs="Tahoma"/>
          <w:sz w:val="24"/>
          <w:szCs w:val="24"/>
          <w:shd w:val="clear" w:color="auto" w:fill="FFFFFF"/>
        </w:rPr>
        <w:t xml:space="preserve">parts 1 and 2 there are two programs for each part.  </w:t>
      </w:r>
      <w:r w:rsidRPr="0084140D">
        <w:rPr>
          <w:rFonts w:cs="Tahoma"/>
          <w:sz w:val="24"/>
          <w:szCs w:val="24"/>
          <w:shd w:val="clear" w:color="auto" w:fill="FFFFFF"/>
        </w:rPr>
        <w:t xml:space="preserve">One </w:t>
      </w:r>
      <w:r w:rsidR="0084140D" w:rsidRPr="0084140D">
        <w:rPr>
          <w:rFonts w:cs="Tahoma"/>
          <w:sz w:val="24"/>
          <w:szCs w:val="24"/>
          <w:shd w:val="clear" w:color="auto" w:fill="FFFFFF"/>
        </w:rPr>
        <w:t xml:space="preserve">is </w:t>
      </w:r>
      <w:r w:rsidRPr="0084140D">
        <w:rPr>
          <w:rFonts w:cs="Tahoma"/>
          <w:sz w:val="24"/>
          <w:szCs w:val="24"/>
          <w:shd w:val="clear" w:color="auto" w:fill="FFFFFF"/>
        </w:rPr>
        <w:t xml:space="preserve">called </w:t>
      </w:r>
      <w:r w:rsidR="0084140D" w:rsidRPr="0084140D">
        <w:rPr>
          <w:rFonts w:cs="Tahoma"/>
          <w:sz w:val="24"/>
          <w:szCs w:val="24"/>
          <w:shd w:val="clear" w:color="auto" w:fill="FFFFFF"/>
        </w:rPr>
        <w:t>p</w:t>
      </w:r>
      <w:r w:rsidRPr="0084140D">
        <w:rPr>
          <w:rFonts w:cs="Tahoma"/>
          <w:sz w:val="24"/>
          <w:szCs w:val="24"/>
          <w:shd w:val="clear" w:color="auto" w:fill="FFFFFF"/>
        </w:rPr>
        <w:t xml:space="preserve">art#data.do, which assembles the data used in the analysis.  </w:t>
      </w:r>
      <w:r w:rsidR="00EF03DA" w:rsidRPr="0084140D">
        <w:rPr>
          <w:rFonts w:cs="Tahoma"/>
          <w:sz w:val="24"/>
          <w:szCs w:val="24"/>
          <w:shd w:val="clear" w:color="auto" w:fill="FFFFFF"/>
        </w:rPr>
        <w:t>The data</w:t>
      </w:r>
      <w:r w:rsidR="007D720B">
        <w:rPr>
          <w:rFonts w:cs="Tahoma"/>
          <w:sz w:val="24"/>
          <w:szCs w:val="24"/>
          <w:shd w:val="clear" w:color="auto" w:fill="FFFFFF"/>
        </w:rPr>
        <w:t>set</w:t>
      </w:r>
      <w:r w:rsidR="00EF03DA" w:rsidRPr="0084140D">
        <w:rPr>
          <w:rFonts w:cs="Tahoma"/>
          <w:sz w:val="24"/>
          <w:szCs w:val="24"/>
          <w:shd w:val="clear" w:color="auto" w:fill="FFFFFF"/>
        </w:rPr>
        <w:t xml:space="preserve"> is called Part#.</w:t>
      </w:r>
      <w:proofErr w:type="spellStart"/>
      <w:r w:rsidR="00EF03DA" w:rsidRPr="0084140D">
        <w:rPr>
          <w:rFonts w:cs="Tahoma"/>
          <w:sz w:val="24"/>
          <w:szCs w:val="24"/>
          <w:shd w:val="clear" w:color="auto" w:fill="FFFFFF"/>
        </w:rPr>
        <w:t>dta</w:t>
      </w:r>
      <w:proofErr w:type="spellEnd"/>
      <w:r w:rsidR="00EF03DA" w:rsidRPr="0084140D">
        <w:rPr>
          <w:rFonts w:cs="Tahoma"/>
          <w:sz w:val="24"/>
          <w:szCs w:val="24"/>
          <w:shd w:val="clear" w:color="auto" w:fill="FFFFFF"/>
        </w:rPr>
        <w:t xml:space="preserve">. </w:t>
      </w:r>
      <w:r w:rsidRPr="0084140D">
        <w:rPr>
          <w:rFonts w:cs="Tahoma"/>
          <w:sz w:val="24"/>
          <w:szCs w:val="24"/>
          <w:shd w:val="clear" w:color="auto" w:fill="FFFFFF"/>
        </w:rPr>
        <w:t xml:space="preserve">And </w:t>
      </w:r>
      <w:r w:rsidR="00EF03DA" w:rsidRPr="0084140D">
        <w:rPr>
          <w:rFonts w:cs="Tahoma"/>
          <w:sz w:val="24"/>
          <w:szCs w:val="24"/>
          <w:shd w:val="clear" w:color="auto" w:fill="FFFFFF"/>
        </w:rPr>
        <w:t xml:space="preserve">the other program is </w:t>
      </w:r>
      <w:r w:rsidRPr="0084140D">
        <w:rPr>
          <w:rFonts w:cs="Tahoma"/>
          <w:sz w:val="24"/>
          <w:szCs w:val="24"/>
          <w:shd w:val="clear" w:color="auto" w:fill="FFFFFF"/>
        </w:rPr>
        <w:t>called Part#results.do, which generates the tables and figures in the paper.</w:t>
      </w:r>
      <w:r w:rsidR="0084140D" w:rsidRPr="0084140D">
        <w:rPr>
          <w:rFonts w:cs="Tahoma"/>
          <w:sz w:val="24"/>
          <w:szCs w:val="24"/>
          <w:shd w:val="clear" w:color="auto" w:fill="FFFFFF"/>
        </w:rPr>
        <w:t xml:space="preserve"> For part 3 there’s just a part3results.do program, which does both the data assembly (which is minor) and the analysis.</w:t>
      </w:r>
    </w:p>
    <w:p w:rsidR="0084140D" w:rsidRPr="0084140D" w:rsidRDefault="0084140D">
      <w:pPr>
        <w:rPr>
          <w:rFonts w:cs="Tahoma"/>
          <w:sz w:val="24"/>
          <w:szCs w:val="24"/>
          <w:shd w:val="clear" w:color="auto" w:fill="FFFFFF"/>
        </w:rPr>
      </w:pPr>
      <w:r w:rsidRPr="0084140D">
        <w:rPr>
          <w:rFonts w:cs="Tahoma"/>
          <w:sz w:val="24"/>
          <w:szCs w:val="24"/>
          <w:shd w:val="clear" w:color="auto" w:fill="FFFFFF"/>
        </w:rPr>
        <w:t>Tables generated by the programs go into the “Tables” folder, with names corresponding to the table numbers in the paper.  Figures generated by the programs go into the “Figures” folder.</w:t>
      </w:r>
    </w:p>
    <w:p w:rsidR="00C34D5C" w:rsidRPr="0084140D" w:rsidRDefault="00C34D5C">
      <w:pPr>
        <w:rPr>
          <w:rFonts w:cs="Tahoma"/>
          <w:sz w:val="24"/>
          <w:szCs w:val="24"/>
          <w:shd w:val="clear" w:color="auto" w:fill="FFFFFF"/>
        </w:rPr>
      </w:pPr>
      <w:r w:rsidRPr="0084140D">
        <w:rPr>
          <w:rFonts w:cs="Tahoma"/>
          <w:sz w:val="24"/>
          <w:szCs w:val="24"/>
          <w:u w:val="single"/>
          <w:shd w:val="clear" w:color="auto" w:fill="FFFFFF"/>
        </w:rPr>
        <w:t>Part 1 notes</w:t>
      </w:r>
    </w:p>
    <w:p w:rsidR="0067300A" w:rsidRPr="0084140D" w:rsidRDefault="0067300A" w:rsidP="0067300A">
      <w:pPr>
        <w:pStyle w:val="ListParagraph"/>
        <w:numPr>
          <w:ilvl w:val="0"/>
          <w:numId w:val="1"/>
        </w:numPr>
      </w:pPr>
      <w:r w:rsidRPr="0084140D">
        <w:t>First merges the two RASS datasets (2003 and 2009), and saves the house characteristics, without the weather or energy data in a dataset called “Part1_NoEnergy_1".</w:t>
      </w:r>
    </w:p>
    <w:p w:rsidR="00C34D5C" w:rsidRPr="0084140D" w:rsidRDefault="0067300A" w:rsidP="00FA7BA5">
      <w:pPr>
        <w:pStyle w:val="ListParagraph"/>
        <w:numPr>
          <w:ilvl w:val="0"/>
          <w:numId w:val="1"/>
        </w:numPr>
      </w:pPr>
      <w:r w:rsidRPr="0084140D">
        <w:t xml:space="preserve">Then merges in the weather and energy data created using the </w:t>
      </w:r>
      <w:r w:rsidR="00FA7BA5" w:rsidRPr="0084140D">
        <w:rPr>
          <w:i/>
        </w:rPr>
        <w:t xml:space="preserve">actual </w:t>
      </w:r>
      <w:r w:rsidR="00FA7BA5" w:rsidRPr="0084140D">
        <w:t xml:space="preserve">energy data, which is compiled in Part2data.do.  </w:t>
      </w:r>
    </w:p>
    <w:p w:rsidR="00FA7BA5" w:rsidRPr="0084140D" w:rsidRDefault="0067300A" w:rsidP="00FA7BA5">
      <w:pPr>
        <w:pStyle w:val="ListParagraph"/>
        <w:numPr>
          <w:ilvl w:val="0"/>
          <w:numId w:val="1"/>
        </w:numPr>
      </w:pPr>
      <w:r w:rsidRPr="0084140D">
        <w:t>But Part2data.do uses the compiled house characteristics from Part1data.do.</w:t>
      </w:r>
    </w:p>
    <w:p w:rsidR="0067300A" w:rsidRPr="0084140D" w:rsidRDefault="0067300A" w:rsidP="00FA7BA5">
      <w:pPr>
        <w:pStyle w:val="ListParagraph"/>
        <w:numPr>
          <w:ilvl w:val="0"/>
          <w:numId w:val="1"/>
        </w:numPr>
      </w:pPr>
      <w:r w:rsidRPr="0084140D">
        <w:t>So the data programs need to be run in the following way:</w:t>
      </w:r>
    </w:p>
    <w:p w:rsidR="0067300A" w:rsidRPr="0084140D" w:rsidRDefault="0067300A" w:rsidP="0067300A">
      <w:pPr>
        <w:pStyle w:val="ListParagraph"/>
        <w:numPr>
          <w:ilvl w:val="1"/>
          <w:numId w:val="1"/>
        </w:numPr>
      </w:pPr>
      <w:r w:rsidRPr="0084140D">
        <w:t xml:space="preserve">Part1data.do up to line 491, which reads </w:t>
      </w:r>
      <w:r w:rsidRPr="0084140D">
        <w:br/>
        <w:t>“*  Run up to here first, then run Part2data.do before continuing;”</w:t>
      </w:r>
    </w:p>
    <w:p w:rsidR="0067300A" w:rsidRPr="0084140D" w:rsidRDefault="0067300A" w:rsidP="0084140D">
      <w:pPr>
        <w:pStyle w:val="ListParagraph"/>
        <w:numPr>
          <w:ilvl w:val="1"/>
          <w:numId w:val="1"/>
        </w:numPr>
      </w:pPr>
      <w:r w:rsidRPr="0084140D">
        <w:t>Then run Part2data.do, return to Part1data.do and run the rest of the program.</w:t>
      </w:r>
    </w:p>
    <w:p w:rsidR="0067300A" w:rsidRDefault="0084140D" w:rsidP="0084140D">
      <w:r>
        <w:rPr>
          <w:u w:val="single"/>
        </w:rPr>
        <w:t>Part 2 notes</w:t>
      </w:r>
    </w:p>
    <w:p w:rsidR="00C737B7" w:rsidRDefault="00C737B7" w:rsidP="0084140D">
      <w:pPr>
        <w:pStyle w:val="ListParagraph"/>
        <w:numPr>
          <w:ilvl w:val="0"/>
          <w:numId w:val="1"/>
        </w:numPr>
      </w:pPr>
      <w:r>
        <w:t>Weather:</w:t>
      </w:r>
    </w:p>
    <w:p w:rsidR="0084140D" w:rsidRDefault="00C737B7" w:rsidP="00C737B7">
      <w:pPr>
        <w:pStyle w:val="ListParagraph"/>
        <w:numPr>
          <w:ilvl w:val="1"/>
          <w:numId w:val="1"/>
        </w:numPr>
      </w:pPr>
      <w:r>
        <w:t>Gets the weather data for each weather station in California, from NOAA.</w:t>
      </w:r>
    </w:p>
    <w:p w:rsidR="00C737B7" w:rsidRDefault="00C737B7" w:rsidP="00C737B7">
      <w:pPr>
        <w:pStyle w:val="ListParagraph"/>
        <w:numPr>
          <w:ilvl w:val="1"/>
          <w:numId w:val="1"/>
        </w:numPr>
      </w:pPr>
      <w:r>
        <w:t>Cross with zip code population centroids.</w:t>
      </w:r>
    </w:p>
    <w:p w:rsidR="00C737B7" w:rsidRDefault="00C737B7" w:rsidP="00C737B7">
      <w:pPr>
        <w:pStyle w:val="ListParagraph"/>
        <w:numPr>
          <w:ilvl w:val="1"/>
          <w:numId w:val="1"/>
        </w:numPr>
      </w:pPr>
      <w:r>
        <w:t xml:space="preserve">Gets the weighted </w:t>
      </w:r>
      <w:proofErr w:type="spellStart"/>
      <w:r>
        <w:t>avg</w:t>
      </w:r>
      <w:proofErr w:type="spellEnd"/>
      <w:r>
        <w:t xml:space="preserve"> weather at each population centroid, within 20, 30, and 40 miles, weighted by inverse distance.</w:t>
      </w:r>
    </w:p>
    <w:p w:rsidR="00C737B7" w:rsidRDefault="00C737B7" w:rsidP="0084140D">
      <w:pPr>
        <w:pStyle w:val="ListParagraph"/>
        <w:numPr>
          <w:ilvl w:val="0"/>
          <w:numId w:val="1"/>
        </w:numPr>
      </w:pPr>
      <w:r>
        <w:t>Billing data:</w:t>
      </w:r>
    </w:p>
    <w:p w:rsidR="00C737B7" w:rsidRDefault="00C737B7" w:rsidP="00C737B7">
      <w:pPr>
        <w:pStyle w:val="ListParagraph"/>
        <w:numPr>
          <w:ilvl w:val="1"/>
          <w:numId w:val="1"/>
        </w:numPr>
      </w:pPr>
      <w:r>
        <w:t>Billing cycles don’t correspond to calendar months.  The 2003 RASS data I acquired had already been “</w:t>
      </w:r>
      <w:proofErr w:type="spellStart"/>
      <w:r>
        <w:t>calendarized</w:t>
      </w:r>
      <w:proofErr w:type="spellEnd"/>
      <w:r>
        <w:t xml:space="preserve">”, which means the energy used by each home are assigned proportionally to calendar months.  See the 2003 RASS documentation, pp 99ff.  This program </w:t>
      </w:r>
      <w:proofErr w:type="spellStart"/>
      <w:r>
        <w:t>calendarizes</w:t>
      </w:r>
      <w:proofErr w:type="spellEnd"/>
      <w:r>
        <w:t xml:space="preserve"> the 2009 RASS billing data in the same way.</w:t>
      </w:r>
    </w:p>
    <w:p w:rsidR="00C737B7" w:rsidRPr="0084140D" w:rsidRDefault="00C737B7" w:rsidP="007D720B">
      <w:pPr>
        <w:pStyle w:val="ListParagraph"/>
        <w:ind w:left="1440"/>
      </w:pPr>
      <w:bookmarkStart w:id="0" w:name="_GoBack"/>
      <w:bookmarkEnd w:id="0"/>
    </w:p>
    <w:p w:rsidR="00B554E5" w:rsidRPr="0084140D" w:rsidRDefault="00B554E5"/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600"/>
      </w:tblGrid>
      <w:tr w:rsidR="0084140D" w:rsidRPr="0084140D" w:rsidTr="0084140D">
        <w:trPr>
          <w:trHeight w:val="288"/>
        </w:trPr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:rsidR="00B554E5" w:rsidRPr="0084140D" w:rsidRDefault="00B554E5" w:rsidP="00B554E5">
            <w:pPr>
              <w:jc w:val="center"/>
            </w:pPr>
            <w:r w:rsidRPr="0084140D">
              <w:rPr>
                <w:b/>
              </w:rPr>
              <w:t>Location of Figures and Tables in Programs</w:t>
            </w:r>
          </w:p>
        </w:tc>
      </w:tr>
      <w:tr w:rsidR="0084140D" w:rsidRPr="0084140D" w:rsidTr="0084140D"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554E5" w:rsidRPr="0084140D" w:rsidRDefault="000C70FF">
            <w:pPr>
              <w:rPr>
                <w:b/>
              </w:rPr>
            </w:pPr>
            <w:r w:rsidRPr="0084140D">
              <w:rPr>
                <w:b/>
              </w:rPr>
              <w:t>Table or Figure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554E5" w:rsidRPr="0084140D" w:rsidRDefault="000C70FF">
            <w:pPr>
              <w:rPr>
                <w:b/>
              </w:rPr>
            </w:pPr>
            <w:r w:rsidRPr="0084140D">
              <w:rPr>
                <w:b/>
              </w:rPr>
              <w:t>Program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1A6998">
            <w:r w:rsidRPr="0084140D">
              <w:t>Table 1</w:t>
            </w:r>
          </w:p>
        </w:tc>
        <w:tc>
          <w:tcPr>
            <w:tcW w:w="3600" w:type="dxa"/>
          </w:tcPr>
          <w:p w:rsidR="001A6998" w:rsidRPr="0084140D" w:rsidRDefault="001A6998">
            <w:r w:rsidRPr="0084140D">
              <w:t>Horn et al. (1980)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Table 2</w:t>
            </w:r>
          </w:p>
        </w:tc>
        <w:tc>
          <w:tcPr>
            <w:tcW w:w="3600" w:type="dxa"/>
          </w:tcPr>
          <w:p w:rsidR="001A6998" w:rsidRPr="0084140D" w:rsidRDefault="001A6998">
            <w:r w:rsidRPr="0084140D">
              <w:t>Part1results.do and</w:t>
            </w:r>
            <w:r w:rsidRPr="0084140D">
              <w:rPr>
                <w:i/>
              </w:rPr>
              <w:t xml:space="preserve"> </w:t>
            </w:r>
            <w:r w:rsidRPr="0084140D">
              <w:t>Part3results.do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Table 3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Table 4</w:t>
            </w:r>
          </w:p>
        </w:tc>
        <w:tc>
          <w:tcPr>
            <w:tcW w:w="3600" w:type="dxa"/>
          </w:tcPr>
          <w:p w:rsidR="001A6998" w:rsidRPr="0084140D" w:rsidRDefault="001A6998" w:rsidP="000C70FF">
            <w:r w:rsidRPr="0084140D">
              <w:t>Part2results.do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Table 5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Part2results.do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Table 6</w:t>
            </w:r>
          </w:p>
        </w:tc>
        <w:tc>
          <w:tcPr>
            <w:tcW w:w="3600" w:type="dxa"/>
          </w:tcPr>
          <w:p w:rsidR="001A6998" w:rsidRPr="0084140D" w:rsidRDefault="001A6998" w:rsidP="000C70FF">
            <w:r w:rsidRPr="0084140D">
              <w:t>Part3results.do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/>
        </w:tc>
        <w:tc>
          <w:tcPr>
            <w:tcW w:w="3600" w:type="dxa"/>
          </w:tcPr>
          <w:p w:rsidR="001A6998" w:rsidRPr="0084140D" w:rsidRDefault="001A6998"/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Figure 1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Figure 2</w:t>
            </w:r>
          </w:p>
        </w:tc>
        <w:tc>
          <w:tcPr>
            <w:tcW w:w="3600" w:type="dxa"/>
          </w:tcPr>
          <w:p w:rsidR="001A6998" w:rsidRPr="0084140D" w:rsidRDefault="001A6998" w:rsidP="000C70FF">
            <w:r w:rsidRPr="0084140D">
              <w:t>Part3results.do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Figure 3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Figure 4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Figure 5</w:t>
            </w:r>
          </w:p>
        </w:tc>
        <w:tc>
          <w:tcPr>
            <w:tcW w:w="3600" w:type="dxa"/>
          </w:tcPr>
          <w:p w:rsidR="001A6998" w:rsidRPr="0084140D" w:rsidRDefault="001A6998" w:rsidP="000C70FF">
            <w:r w:rsidRPr="0084140D">
              <w:t>Part2results.do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Figure 6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Part2results.do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Figure 7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Part2results.do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Figure 8</w:t>
            </w:r>
          </w:p>
        </w:tc>
        <w:tc>
          <w:tcPr>
            <w:tcW w:w="3600" w:type="dxa"/>
          </w:tcPr>
          <w:p w:rsidR="001A6998" w:rsidRPr="0084140D" w:rsidRDefault="001A6998" w:rsidP="000C70FF">
            <w:r w:rsidRPr="0084140D">
              <w:t>Part3results.do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Figure 9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Part3results.do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/>
        </w:tc>
        <w:tc>
          <w:tcPr>
            <w:tcW w:w="3600" w:type="dxa"/>
          </w:tcPr>
          <w:p w:rsidR="001A6998" w:rsidRPr="0084140D" w:rsidRDefault="001A6998"/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Appendix Figure A1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Part3results.do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Appendix Figure A2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Appendix Figure A3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/>
        </w:tc>
        <w:tc>
          <w:tcPr>
            <w:tcW w:w="3600" w:type="dxa"/>
          </w:tcPr>
          <w:p w:rsidR="001A6998" w:rsidRPr="0084140D" w:rsidRDefault="001A6998" w:rsidP="00D72E54"/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Appendix Table A1</w:t>
            </w:r>
          </w:p>
        </w:tc>
        <w:tc>
          <w:tcPr>
            <w:tcW w:w="3600" w:type="dxa"/>
          </w:tcPr>
          <w:p w:rsidR="001A6998" w:rsidRPr="0084140D" w:rsidRDefault="0084140D" w:rsidP="00D72E54">
            <w:r w:rsidRPr="0084140D">
              <w:t>Various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Appendix Table A2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0C70FF">
            <w:r w:rsidRPr="0084140D">
              <w:t>Appendix Table A3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>
            <w:r w:rsidRPr="0084140D">
              <w:t>Appendix Table A4</w:t>
            </w:r>
          </w:p>
        </w:tc>
        <w:tc>
          <w:tcPr>
            <w:tcW w:w="3600" w:type="dxa"/>
          </w:tcPr>
          <w:p w:rsidR="001A6998" w:rsidRPr="0084140D" w:rsidRDefault="001A6998" w:rsidP="00D72E54">
            <w:r w:rsidRPr="0084140D">
              <w:t>Part1results.do</w:t>
            </w:r>
          </w:p>
        </w:tc>
      </w:tr>
      <w:tr w:rsidR="0084140D" w:rsidRPr="0084140D" w:rsidTr="0084140D">
        <w:tc>
          <w:tcPr>
            <w:tcW w:w="3150" w:type="dxa"/>
          </w:tcPr>
          <w:p w:rsidR="001A6998" w:rsidRPr="0084140D" w:rsidRDefault="001A6998" w:rsidP="001A6998">
            <w:r w:rsidRPr="0084140D">
              <w:t>Appendix Table A5</w:t>
            </w:r>
          </w:p>
        </w:tc>
        <w:tc>
          <w:tcPr>
            <w:tcW w:w="3600" w:type="dxa"/>
          </w:tcPr>
          <w:p w:rsidR="001A6998" w:rsidRPr="0084140D" w:rsidRDefault="001A6998" w:rsidP="001A6998">
            <w:r w:rsidRPr="0084140D">
              <w:t>Part2results.do</w:t>
            </w:r>
          </w:p>
        </w:tc>
      </w:tr>
      <w:tr w:rsidR="0084140D" w:rsidRPr="0084140D" w:rsidTr="0084140D">
        <w:tc>
          <w:tcPr>
            <w:tcW w:w="3150" w:type="dxa"/>
            <w:tcBorders>
              <w:bottom w:val="single" w:sz="4" w:space="0" w:color="auto"/>
            </w:tcBorders>
          </w:tcPr>
          <w:p w:rsidR="001A6998" w:rsidRPr="0084140D" w:rsidRDefault="001A6998" w:rsidP="001A6998">
            <w:r w:rsidRPr="0084140D">
              <w:t>Appendix Table A6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A6998" w:rsidRPr="0084140D" w:rsidRDefault="001A6998" w:rsidP="00D72E54">
            <w:r w:rsidRPr="0084140D">
              <w:t>Part2results.do</w:t>
            </w:r>
          </w:p>
        </w:tc>
      </w:tr>
    </w:tbl>
    <w:p w:rsidR="00B554E5" w:rsidRPr="00C34D5C" w:rsidRDefault="00B554E5"/>
    <w:sectPr w:rsidR="00B554E5" w:rsidRPr="00C3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6B9"/>
    <w:multiLevelType w:val="hybridMultilevel"/>
    <w:tmpl w:val="BB3EB30A"/>
    <w:lvl w:ilvl="0" w:tplc="70F269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0A"/>
    <w:rsid w:val="000C70FF"/>
    <w:rsid w:val="001A6998"/>
    <w:rsid w:val="00267BB9"/>
    <w:rsid w:val="005418ED"/>
    <w:rsid w:val="0067300A"/>
    <w:rsid w:val="007D720B"/>
    <w:rsid w:val="0084140D"/>
    <w:rsid w:val="00A34A0A"/>
    <w:rsid w:val="00B554E5"/>
    <w:rsid w:val="00BC1230"/>
    <w:rsid w:val="00C34D5C"/>
    <w:rsid w:val="00C61A0B"/>
    <w:rsid w:val="00C737B7"/>
    <w:rsid w:val="00E12ECD"/>
    <w:rsid w:val="00E72A43"/>
    <w:rsid w:val="00EF03DA"/>
    <w:rsid w:val="00F27388"/>
    <w:rsid w:val="00F96A48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A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4A0A"/>
  </w:style>
  <w:style w:type="character" w:styleId="Emphasis">
    <w:name w:val="Emphasis"/>
    <w:basedOn w:val="DefaultParagraphFont"/>
    <w:uiPriority w:val="20"/>
    <w:qFormat/>
    <w:rsid w:val="00A34A0A"/>
    <w:rPr>
      <w:i/>
      <w:iCs/>
    </w:rPr>
  </w:style>
  <w:style w:type="table" w:styleId="TableGrid">
    <w:name w:val="Table Grid"/>
    <w:basedOn w:val="TableNormal"/>
    <w:uiPriority w:val="59"/>
    <w:rsid w:val="00B5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A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4A0A"/>
  </w:style>
  <w:style w:type="character" w:styleId="Emphasis">
    <w:name w:val="Emphasis"/>
    <w:basedOn w:val="DefaultParagraphFont"/>
    <w:uiPriority w:val="20"/>
    <w:qFormat/>
    <w:rsid w:val="00A34A0A"/>
    <w:rPr>
      <w:i/>
      <w:iCs/>
    </w:rPr>
  </w:style>
  <w:style w:type="table" w:styleId="TableGrid">
    <w:name w:val="Table Grid"/>
    <w:basedOn w:val="TableNormal"/>
    <w:uiPriority w:val="59"/>
    <w:rsid w:val="00B5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ulty.georgetown.edu/aml6/pdfs&amp;zips/BuildingCod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</dc:creator>
  <cp:lastModifiedBy>Arik</cp:lastModifiedBy>
  <cp:revision>4</cp:revision>
  <dcterms:created xsi:type="dcterms:W3CDTF">2016-04-21T19:37:00Z</dcterms:created>
  <dcterms:modified xsi:type="dcterms:W3CDTF">2016-04-21T19:42:00Z</dcterms:modified>
</cp:coreProperties>
</file>